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94AB" w14:textId="77777777" w:rsidR="007D25B5" w:rsidRDefault="007D25B5" w:rsidP="007D25B5">
      <w:pPr>
        <w:jc w:val="center"/>
        <w:rPr>
          <w:rFonts w:hAnsi="바탕"/>
          <w:spacing w:val="-10"/>
        </w:rPr>
      </w:pPr>
    </w:p>
    <w:p w14:paraId="696294AC" w14:textId="59859501" w:rsidR="007D25B5" w:rsidRDefault="005F7004" w:rsidP="007D25B5">
      <w:pPr>
        <w:jc w:val="center"/>
        <w:rPr>
          <w:rFonts w:hAnsi="바탕"/>
          <w:b/>
          <w:bCs/>
          <w:spacing w:val="-10"/>
          <w:sz w:val="36"/>
        </w:rPr>
      </w:pPr>
      <w:r>
        <w:rPr>
          <w:rFonts w:hAnsi="바탕" w:hint="eastAsia"/>
          <w:b/>
          <w:bCs/>
          <w:spacing w:val="-10"/>
          <w:sz w:val="36"/>
        </w:rPr>
        <w:t>이해상충관리 지침</w:t>
      </w:r>
    </w:p>
    <w:p w14:paraId="696294AD" w14:textId="77777777" w:rsidR="007D25B5" w:rsidRDefault="007D25B5" w:rsidP="007D25B5">
      <w:pPr>
        <w:spacing w:line="360" w:lineRule="exact"/>
        <w:jc w:val="right"/>
        <w:rPr>
          <w:rFonts w:hAnsi="바탕"/>
          <w:spacing w:val="-10"/>
        </w:rPr>
      </w:pPr>
    </w:p>
    <w:p w14:paraId="696294AE" w14:textId="4EE6A831" w:rsidR="007D25B5" w:rsidRDefault="007D25B5" w:rsidP="007D25B5">
      <w:pPr>
        <w:pStyle w:val="a3"/>
        <w:spacing w:line="360" w:lineRule="exact"/>
        <w:jc w:val="right"/>
        <w:rPr>
          <w:rFonts w:ascii="바탕" w:eastAsia="바탕" w:hAnsi="바탕"/>
          <w:bCs/>
          <w:color w:val="auto"/>
          <w:spacing w:val="-10"/>
        </w:rPr>
      </w:pPr>
      <w:r>
        <w:rPr>
          <w:rFonts w:ascii="바탕" w:eastAsia="바탕" w:hAnsi="바탕" w:hint="eastAsia"/>
          <w:bCs/>
          <w:color w:val="auto"/>
          <w:spacing w:val="-10"/>
        </w:rPr>
        <w:t>제정</w:t>
      </w:r>
      <w:r w:rsidR="00521CA9">
        <w:rPr>
          <w:rFonts w:ascii="바탕" w:eastAsia="바탕" w:hAnsi="바탕" w:hint="eastAsia"/>
          <w:bCs/>
          <w:color w:val="auto"/>
          <w:spacing w:val="-10"/>
        </w:rPr>
        <w:t xml:space="preserve"> </w:t>
      </w:r>
      <w:r w:rsidR="00901BCA">
        <w:rPr>
          <w:rFonts w:ascii="바탕" w:eastAsia="바탕" w:hAnsi="바탕" w:hint="eastAsia"/>
          <w:bCs/>
          <w:color w:val="auto"/>
          <w:spacing w:val="-10"/>
        </w:rPr>
        <w:t>2025.0</w:t>
      </w:r>
      <w:r w:rsidR="005F7004">
        <w:rPr>
          <w:rFonts w:ascii="바탕" w:eastAsia="바탕" w:hAnsi="바탕" w:hint="eastAsia"/>
          <w:bCs/>
          <w:color w:val="auto"/>
          <w:spacing w:val="-10"/>
        </w:rPr>
        <w:t>8</w:t>
      </w:r>
      <w:r w:rsidR="00901BCA">
        <w:rPr>
          <w:rFonts w:ascii="바탕" w:eastAsia="바탕" w:hAnsi="바탕" w:hint="eastAsia"/>
          <w:bCs/>
          <w:color w:val="auto"/>
          <w:spacing w:val="-10"/>
        </w:rPr>
        <w:t>.</w:t>
      </w:r>
      <w:r w:rsidR="005F7004">
        <w:rPr>
          <w:rFonts w:ascii="바탕" w:eastAsia="바탕" w:hAnsi="바탕" w:hint="eastAsia"/>
          <w:bCs/>
          <w:color w:val="auto"/>
          <w:spacing w:val="-10"/>
        </w:rPr>
        <w:t>19</w:t>
      </w:r>
    </w:p>
    <w:p w14:paraId="696294B1" w14:textId="77777777" w:rsidR="007D25B5" w:rsidRDefault="007D25B5" w:rsidP="007D25B5">
      <w:pPr>
        <w:spacing w:line="360" w:lineRule="exact"/>
        <w:jc w:val="right"/>
        <w:rPr>
          <w:rFonts w:hAnsi="바탕"/>
          <w:spacing w:val="-10"/>
        </w:rPr>
      </w:pPr>
    </w:p>
    <w:p w14:paraId="696294B2" w14:textId="77777777" w:rsidR="007D25B5" w:rsidRPr="00BA185A" w:rsidRDefault="007D25B5" w:rsidP="007D25B5">
      <w:pPr>
        <w:spacing w:line="360" w:lineRule="exact"/>
        <w:jc w:val="right"/>
        <w:rPr>
          <w:rFonts w:ascii="바탕체" w:eastAsia="바탕체" w:hAnsi="바탕체"/>
          <w:spacing w:val="-10"/>
          <w:sz w:val="22"/>
          <w:szCs w:val="22"/>
        </w:rPr>
      </w:pPr>
    </w:p>
    <w:p w14:paraId="6A6D16EB" w14:textId="77777777" w:rsidR="00BA185A" w:rsidRPr="00BA185A" w:rsidRDefault="00BA185A" w:rsidP="00BA185A">
      <w:pPr>
        <w:spacing w:line="360" w:lineRule="exact"/>
        <w:ind w:left="509" w:hangingChars="254" w:hanging="509"/>
        <w:jc w:val="center"/>
        <w:rPr>
          <w:rFonts w:ascii="바탕체" w:eastAsia="바탕체" w:hAnsi="바탕체"/>
          <w:b/>
          <w:spacing w:val="-10"/>
          <w:sz w:val="22"/>
          <w:szCs w:val="22"/>
        </w:rPr>
      </w:pPr>
      <w:r w:rsidRPr="00BA185A">
        <w:rPr>
          <w:rFonts w:ascii="바탕체" w:eastAsia="바탕체" w:hAnsi="바탕체" w:hint="eastAsia"/>
          <w:b/>
          <w:bCs/>
          <w:spacing w:val="-10"/>
          <w:sz w:val="22"/>
          <w:szCs w:val="22"/>
        </w:rPr>
        <w:t>제1장 총칙</w:t>
      </w:r>
    </w:p>
    <w:p w14:paraId="3057F35E" w14:textId="77777777" w:rsidR="00BA185A" w:rsidRPr="00BA185A" w:rsidRDefault="00BA185A" w:rsidP="00901BCA">
      <w:pPr>
        <w:spacing w:line="360" w:lineRule="exact"/>
        <w:ind w:left="509" w:hangingChars="254" w:hanging="509"/>
        <w:rPr>
          <w:rFonts w:ascii="바탕체" w:eastAsia="바탕체" w:hAnsi="바탕체"/>
          <w:b/>
          <w:spacing w:val="-10"/>
          <w:sz w:val="22"/>
          <w:szCs w:val="22"/>
        </w:rPr>
      </w:pPr>
    </w:p>
    <w:p w14:paraId="34EAD103" w14:textId="7BBD8303" w:rsidR="00901BCA" w:rsidRPr="00BA185A" w:rsidRDefault="007D25B5" w:rsidP="00561649">
      <w:pPr>
        <w:spacing w:line="276" w:lineRule="auto"/>
        <w:ind w:left="509" w:hangingChars="254" w:hanging="509"/>
        <w:rPr>
          <w:rFonts w:ascii="바탕체" w:eastAsia="바탕체" w:hAnsi="바탕체"/>
          <w:b/>
          <w:spacing w:val="-10"/>
          <w:sz w:val="22"/>
          <w:szCs w:val="22"/>
        </w:rPr>
      </w:pPr>
      <w:r w:rsidRPr="00BA185A">
        <w:rPr>
          <w:rFonts w:ascii="바탕체" w:eastAsia="바탕체" w:hAnsi="바탕체" w:hint="eastAsia"/>
          <w:b/>
          <w:spacing w:val="-10"/>
          <w:sz w:val="22"/>
          <w:szCs w:val="22"/>
        </w:rPr>
        <w:t xml:space="preserve">제1조 (목적) </w:t>
      </w:r>
    </w:p>
    <w:p w14:paraId="1CD7D0D7" w14:textId="77777777" w:rsidR="00BA185A" w:rsidRPr="00BA185A" w:rsidRDefault="005F7004" w:rsidP="00561649">
      <w:pPr>
        <w:spacing w:line="276" w:lineRule="auto"/>
        <w:ind w:leftChars="100" w:left="508" w:hangingChars="154" w:hanging="308"/>
        <w:rPr>
          <w:rFonts w:ascii="바탕체" w:eastAsia="바탕체" w:hAnsi="바탕체"/>
          <w:bCs/>
          <w:spacing w:val="-10"/>
          <w:sz w:val="22"/>
          <w:szCs w:val="22"/>
        </w:rPr>
      </w:pPr>
      <w:r w:rsidRPr="005F7004">
        <w:rPr>
          <w:rFonts w:ascii="바탕체" w:eastAsia="바탕체" w:hAnsi="바탕체" w:hint="eastAsia"/>
          <w:bCs/>
          <w:spacing w:val="-10"/>
          <w:sz w:val="22"/>
          <w:szCs w:val="22"/>
        </w:rPr>
        <w:t>본 지침은 “자본시장과 금융투자업에 관한 법률(이하 ”법“) 제44조,</w:t>
      </w:r>
      <w:r w:rsidRPr="005F7004">
        <w:rPr>
          <w:rFonts w:ascii="바탕체" w:eastAsia="바탕체" w:hAnsi="바탕체"/>
          <w:bCs/>
          <w:spacing w:val="-10"/>
          <w:sz w:val="22"/>
          <w:szCs w:val="22"/>
        </w:rPr>
        <w:t xml:space="preserve"> </w:t>
      </w:r>
      <w:r w:rsidRPr="005F7004">
        <w:rPr>
          <w:rFonts w:ascii="바탕체" w:eastAsia="바탕체" w:hAnsi="바탕체" w:hint="eastAsia"/>
          <w:bCs/>
          <w:spacing w:val="-10"/>
          <w:sz w:val="22"/>
          <w:szCs w:val="22"/>
        </w:rPr>
        <w:t>제45조, 회사의</w:t>
      </w:r>
      <w:r w:rsidRPr="005F7004">
        <w:rPr>
          <w:rFonts w:ascii="바탕체" w:eastAsia="바탕체" w:hAnsi="바탕체"/>
          <w:bCs/>
          <w:spacing w:val="-10"/>
          <w:sz w:val="22"/>
          <w:szCs w:val="22"/>
        </w:rPr>
        <w:t xml:space="preserve"> </w:t>
      </w:r>
      <w:r w:rsidRPr="005F7004">
        <w:rPr>
          <w:rFonts w:ascii="바탕체" w:eastAsia="바탕체" w:hAnsi="바탕체" w:hint="eastAsia"/>
          <w:bCs/>
          <w:spacing w:val="-10"/>
          <w:sz w:val="22"/>
          <w:szCs w:val="22"/>
        </w:rPr>
        <w:t>내부</w:t>
      </w:r>
    </w:p>
    <w:p w14:paraId="56C40336" w14:textId="77777777" w:rsidR="00BA185A" w:rsidRPr="00BA185A" w:rsidRDefault="005F7004" w:rsidP="00561649">
      <w:pPr>
        <w:spacing w:line="276" w:lineRule="auto"/>
        <w:ind w:leftChars="100" w:left="508" w:hangingChars="154" w:hanging="308"/>
        <w:rPr>
          <w:rFonts w:ascii="바탕체" w:eastAsia="바탕체" w:hAnsi="바탕체"/>
          <w:bCs/>
          <w:spacing w:val="-10"/>
          <w:sz w:val="22"/>
          <w:szCs w:val="22"/>
        </w:rPr>
      </w:pPr>
      <w:r w:rsidRPr="005F7004">
        <w:rPr>
          <w:rFonts w:ascii="바탕체" w:eastAsia="바탕체" w:hAnsi="바탕체" w:hint="eastAsia"/>
          <w:bCs/>
          <w:spacing w:val="-10"/>
          <w:sz w:val="22"/>
          <w:szCs w:val="22"/>
        </w:rPr>
        <w:t>통제기준에 따라 회사가 금융투자업의 영위와 관련하여 이해상충의 발생가능성을 파악,평가,</w:t>
      </w:r>
    </w:p>
    <w:p w14:paraId="16D3CF69" w14:textId="77777777" w:rsidR="00BA185A" w:rsidRPr="00BA185A" w:rsidRDefault="005F7004" w:rsidP="00561649">
      <w:pPr>
        <w:spacing w:line="276" w:lineRule="auto"/>
        <w:ind w:leftChars="100" w:left="508" w:hangingChars="154" w:hanging="308"/>
        <w:rPr>
          <w:rFonts w:ascii="바탕체" w:eastAsia="바탕체" w:hAnsi="바탕체"/>
          <w:bCs/>
          <w:spacing w:val="-10"/>
          <w:sz w:val="22"/>
          <w:szCs w:val="22"/>
        </w:rPr>
      </w:pPr>
      <w:r w:rsidRPr="005F7004">
        <w:rPr>
          <w:rFonts w:ascii="바탕체" w:eastAsia="바탕체" w:hAnsi="바탕체" w:hint="eastAsia"/>
          <w:bCs/>
          <w:spacing w:val="-10"/>
          <w:sz w:val="22"/>
          <w:szCs w:val="22"/>
        </w:rPr>
        <w:t xml:space="preserve">관리하여 회사와 투자자간, 특정투자자와 다른 투자자간 이해상충 발생을 방지하고 투자자를 </w:t>
      </w:r>
    </w:p>
    <w:p w14:paraId="72C270CA" w14:textId="20A5E1CA" w:rsidR="005F7004" w:rsidRDefault="005F7004" w:rsidP="00561649">
      <w:pPr>
        <w:spacing w:line="276" w:lineRule="auto"/>
        <w:ind w:leftChars="100" w:left="508" w:hangingChars="154" w:hanging="308"/>
        <w:rPr>
          <w:rFonts w:ascii="바탕체" w:eastAsia="바탕체" w:hAnsi="바탕체"/>
          <w:bCs/>
          <w:spacing w:val="-10"/>
          <w:sz w:val="22"/>
          <w:szCs w:val="22"/>
        </w:rPr>
      </w:pPr>
      <w:r w:rsidRPr="005F7004">
        <w:rPr>
          <w:rFonts w:ascii="바탕체" w:eastAsia="바탕체" w:hAnsi="바탕체" w:hint="eastAsia"/>
          <w:bCs/>
          <w:spacing w:val="-10"/>
          <w:sz w:val="22"/>
          <w:szCs w:val="22"/>
        </w:rPr>
        <w:t>보호하는데 그 목적이 있다</w:t>
      </w:r>
    </w:p>
    <w:p w14:paraId="6E40CF52" w14:textId="77777777" w:rsidR="00BA185A" w:rsidRDefault="00BA185A" w:rsidP="00561649">
      <w:pPr>
        <w:spacing w:line="276" w:lineRule="auto"/>
        <w:ind w:leftChars="100" w:left="508" w:hangingChars="154" w:hanging="308"/>
        <w:rPr>
          <w:rFonts w:ascii="바탕체" w:eastAsia="바탕체" w:hAnsi="바탕체"/>
          <w:bCs/>
          <w:spacing w:val="-10"/>
          <w:sz w:val="22"/>
          <w:szCs w:val="22"/>
        </w:rPr>
      </w:pPr>
    </w:p>
    <w:p w14:paraId="1678E94B" w14:textId="77777777" w:rsidR="00BA185A" w:rsidRPr="00BA185A" w:rsidRDefault="00BA185A" w:rsidP="00561649">
      <w:pPr>
        <w:wordWrap/>
        <w:snapToGrid w:val="0"/>
        <w:spacing w:line="276" w:lineRule="auto"/>
        <w:jc w:val="center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BA185A">
        <w:rPr>
          <w:rFonts w:ascii="바탕체" w:eastAsia="바탕체" w:hAnsi="바탕체" w:cs="굴림" w:hint="eastAsia"/>
          <w:b/>
          <w:bCs/>
          <w:kern w:val="0"/>
          <w:sz w:val="22"/>
          <w:szCs w:val="22"/>
        </w:rPr>
        <w:t>제2장 기본원칙</w:t>
      </w:r>
    </w:p>
    <w:p w14:paraId="0F162C37" w14:textId="77777777" w:rsidR="00BA185A" w:rsidRPr="005F7004" w:rsidRDefault="00BA185A" w:rsidP="00561649">
      <w:pPr>
        <w:spacing w:line="276" w:lineRule="auto"/>
        <w:ind w:leftChars="100" w:left="508" w:hangingChars="154" w:hanging="308"/>
        <w:rPr>
          <w:rFonts w:ascii="바탕체" w:eastAsia="바탕체" w:hAnsi="바탕체"/>
          <w:bCs/>
          <w:spacing w:val="-10"/>
          <w:sz w:val="22"/>
          <w:szCs w:val="22"/>
        </w:rPr>
      </w:pPr>
    </w:p>
    <w:p w14:paraId="12A89FA5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제2조(투자자이익 우선의 원칙)</w:t>
      </w:r>
    </w:p>
    <w:p w14:paraId="6A013BE1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① 투자자의 이익과 회사의 이익이 충돌하는 경우에는 투자자의 이익이 우선되어야 한다.</w:t>
      </w:r>
    </w:p>
    <w:p w14:paraId="4C6316C1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② 회사의 임직원은 투자자의 이익에 반하는 행위를 하여서는 아니 된다.</w:t>
      </w:r>
    </w:p>
    <w:p w14:paraId="106CD929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③ 회사의 임직원은 정당한 사유 없이 투자자를 차별해서는 아니 된다.</w:t>
      </w:r>
    </w:p>
    <w:p w14:paraId="71D92B13" w14:textId="77777777" w:rsidR="00BA185A" w:rsidRPr="00BA185A" w:rsidRDefault="00BA185A" w:rsidP="00561649">
      <w:pPr>
        <w:wordWrap/>
        <w:snapToGrid w:val="0"/>
        <w:spacing w:line="276" w:lineRule="auto"/>
        <w:jc w:val="center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</w:p>
    <w:p w14:paraId="66C89A82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제3조(이해상충 방지를 위한 준수사항)</w:t>
      </w:r>
    </w:p>
    <w:p w14:paraId="38DC58C0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① 임직원은 자신의 업무를 수행함에 있어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위법ㆍ부당한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방법으로 회사나 투자자를 상대로 자신의 이익 또는 보상을 추구해서는 아니 된다.</w:t>
      </w:r>
    </w:p>
    <w:p w14:paraId="78458A53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② 임직원은 회사의 사전승인을 얻어 업무 이외의 대외활동을 하는 경우 자신의 이익을 위하여 회사 또는 투자자의 자산, 인력 및 업무상 취득한 정보 등을 이용하여서는 아니 된다. </w:t>
      </w:r>
    </w:p>
    <w:p w14:paraId="1ED8846C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③ 회사와 임직원은 관련법규 및 내부통제기준 등을 회피하기 위하여 투자자와 이면계약을 체결하는 행위 등을 하여서는 아니 된다.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</w:p>
    <w:p w14:paraId="735CD6DB" w14:textId="77777777" w:rsidR="005F7004" w:rsidRPr="005F7004" w:rsidRDefault="005F7004" w:rsidP="00561649">
      <w:pPr>
        <w:wordWrap/>
        <w:snapToGrid w:val="0"/>
        <w:spacing w:line="276" w:lineRule="auto"/>
        <w:jc w:val="center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</w:p>
    <w:p w14:paraId="4BAB9588" w14:textId="77777777" w:rsidR="005F7004" w:rsidRPr="005F7004" w:rsidRDefault="005F7004" w:rsidP="00561649">
      <w:pPr>
        <w:wordWrap/>
        <w:snapToGrid w:val="0"/>
        <w:spacing w:line="276" w:lineRule="auto"/>
        <w:jc w:val="center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제3장 이해상충의 관리 절차</w:t>
      </w:r>
    </w:p>
    <w:p w14:paraId="1094538F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25563D90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 xml:space="preserve">제4조(이해상충문제의 </w:t>
      </w:r>
      <w:proofErr w:type="spellStart"/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파악ㆍ평가ㆍ관리</w:t>
      </w:r>
      <w:proofErr w:type="spellEnd"/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 xml:space="preserve"> 등) </w:t>
      </w:r>
    </w:p>
    <w:p w14:paraId="78848205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① 임직원은 회사와 투자자간 또는 투자자와 투자자간 이해상충의 관계에 있거나 이해상충이 우려되는 경우 준법감시인과 사전에 협의하여 투자자 보호 등에 문제가 발생하지 아니하도록 조치하여야 한다. </w:t>
      </w:r>
    </w:p>
    <w:p w14:paraId="0E7CE950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② 회사 및 모든 임직원은 제1항에 따라 이해상충이 발생할 가능성을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파악ㆍ평가한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결과, 이해상충이 발생할 가능성이 있다고 인정되는 경우에는 이러한 사실을 다음 각 호의 어느 하나의 방법으로 지체 없이 투자자에게 통지하고, 투자자의 이익이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침해받지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lastRenderedPageBreak/>
        <w:t xml:space="preserve">아니하도록 이해상충 가능성을 최대한 낮출 수 있는 조치를 취한 후 매매 및 그 밖의 거래를 하여야 한다. </w:t>
      </w:r>
    </w:p>
    <w:p w14:paraId="690F6053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1. 서면,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  <w:u w:val="single" w:color="000000"/>
        </w:rPr>
        <w:t>우편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</w:p>
    <w:p w14:paraId="0DEF4E2F" w14:textId="2D2E2A71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2. 전화,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  <w:u w:val="single" w:color="000000"/>
        </w:rPr>
        <w:t>팩스,전자우편, 메신저 및 이와 비슷한 전자통신의 방법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</w:p>
    <w:p w14:paraId="3097287B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3. 그 밖에 투자자가 요청하는 방법 </w:t>
      </w:r>
    </w:p>
    <w:p w14:paraId="31F8D47F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③ 회사 및 모든 임직원은 제2항에 따라 이해상충이 발생할 가능성을 낮추는 것이 곤란하다고 판단되는 경우에는 매매, 그 밖의 거래에 대한 운용지시를 하여서는 아니 된다. </w:t>
      </w:r>
    </w:p>
    <w:p w14:paraId="31FCCF80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4AB1204A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 xml:space="preserve">제5조(이해상충의 유형 등) </w:t>
      </w:r>
    </w:p>
    <w:p w14:paraId="083098F8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① 회사가 영위하는 일반 사모집합투자업과 관련하여 이해상충 우려가 있다고 파악되는 거래의 유형은 다음 각 호와 같이 구분한다. </w:t>
      </w:r>
    </w:p>
    <w:p w14:paraId="2C74AB75" w14:textId="0105BA89" w:rsidR="00BA185A" w:rsidRPr="00BA185A" w:rsidRDefault="005F7004" w:rsidP="00561649">
      <w:pPr>
        <w:pStyle w:val="a4"/>
        <w:numPr>
          <w:ilvl w:val="0"/>
          <w:numId w:val="12"/>
        </w:numPr>
        <w:wordWrap/>
        <w:snapToGrid w:val="0"/>
        <w:spacing w:line="276" w:lineRule="auto"/>
        <w:ind w:leftChars="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회사 및 그 밖의 </w:t>
      </w:r>
      <w:proofErr w:type="spellStart"/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일반사모집합투자기구</w:t>
      </w:r>
      <w:proofErr w:type="spellEnd"/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관계회사와</w:t>
      </w:r>
      <w:r w:rsidR="00BA185A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</w:t>
      </w:r>
      <w:proofErr w:type="spellStart"/>
      <w:r w:rsidR="00BA185A"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일반사모집합투자기구</w:t>
      </w:r>
      <w:proofErr w:type="spellEnd"/>
      <w:r w:rsidR="00BA185A"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,</w:t>
      </w:r>
      <w:r w:rsidR="00BA185A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기관</w:t>
      </w:r>
    </w:p>
    <w:p w14:paraId="4B690CA7" w14:textId="55B45693" w:rsidR="005F7004" w:rsidRPr="00BA185A" w:rsidRDefault="005F7004" w:rsidP="00561649">
      <w:pPr>
        <w:pStyle w:val="a4"/>
        <w:wordWrap/>
        <w:snapToGrid w:val="0"/>
        <w:spacing w:line="276" w:lineRule="auto"/>
        <w:ind w:leftChars="0" w:left="53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proofErr w:type="spellStart"/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전용사모집합투자기구</w:t>
      </w:r>
      <w:proofErr w:type="spellEnd"/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(이하 ”집합투자기구“)</w:t>
      </w:r>
      <w:r w:rsidRPr="00BA185A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간의 이해상충으로서 다음 각 목의 어느 하나에 해당하는 이해상충</w:t>
      </w:r>
    </w:p>
    <w:p w14:paraId="3BF5826E" w14:textId="5499834A" w:rsidR="00BA185A" w:rsidRPr="00BA185A" w:rsidRDefault="005F7004" w:rsidP="00561649">
      <w:pPr>
        <w:pStyle w:val="a4"/>
        <w:numPr>
          <w:ilvl w:val="0"/>
          <w:numId w:val="13"/>
        </w:numPr>
        <w:wordWrap/>
        <w:snapToGrid w:val="0"/>
        <w:spacing w:line="276" w:lineRule="auto"/>
        <w:ind w:leftChars="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특정한 투자 또는 투자대상에 있어서 회사의 고유재산운용과 집합투자기구 운용</w:t>
      </w:r>
    </w:p>
    <w:p w14:paraId="1817431A" w14:textId="21DFCDBE" w:rsidR="005F7004" w:rsidRPr="00BA185A" w:rsidRDefault="005F7004" w:rsidP="00561649">
      <w:pPr>
        <w:pStyle w:val="a4"/>
        <w:wordWrap/>
        <w:snapToGrid w:val="0"/>
        <w:spacing w:line="276" w:lineRule="auto"/>
        <w:ind w:leftChars="0" w:left="835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BA185A">
        <w:rPr>
          <w:rFonts w:ascii="바탕체" w:eastAsia="바탕체" w:hAnsi="바탕체" w:cs="함초롬바탕" w:hint="eastAsia"/>
          <w:kern w:val="0"/>
          <w:sz w:val="22"/>
          <w:szCs w:val="22"/>
        </w:rPr>
        <w:t>간의 이해상충</w:t>
      </w:r>
    </w:p>
    <w:p w14:paraId="4F760D84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나. 집합투자기구재산의 평가에 관한 이해상충 </w:t>
      </w:r>
    </w:p>
    <w:p w14:paraId="7EF16F52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다. 집합투자기구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운용과 관련한 비용의 부담,처리에 관한 이해상충 </w:t>
      </w:r>
    </w:p>
    <w:p w14:paraId="0F488BFC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라. 회사 또는 계열회사와 집합투자기구 간의 거래에 따른 이해상충</w:t>
      </w:r>
    </w:p>
    <w:p w14:paraId="1BEFC71F" w14:textId="77777777" w:rsidR="00BA185A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마. 회사의 계열사 등 이해관계인의 영업행위 또는 고유재산 투자와 집합투자기구</w:t>
      </w:r>
    </w:p>
    <w:p w14:paraId="6D2F0B4D" w14:textId="58B6C288" w:rsidR="005F7004" w:rsidRPr="005F7004" w:rsidRDefault="005F7004" w:rsidP="00561649">
      <w:pPr>
        <w:wordWrap/>
        <w:snapToGrid w:val="0"/>
        <w:spacing w:line="276" w:lineRule="auto"/>
        <w:ind w:left="400" w:firstLineChars="200" w:firstLine="44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간의 이해상충</w:t>
      </w:r>
    </w:p>
    <w:p w14:paraId="3A2CA655" w14:textId="77777777" w:rsidR="00BA185A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바. 전담중개업자, 집행중개업자, 집합투자증권 판매회사, 신탁업자 등</w:t>
      </w:r>
    </w:p>
    <w:p w14:paraId="40D17120" w14:textId="5DF5D9A1" w:rsidR="005F7004" w:rsidRPr="005F7004" w:rsidRDefault="005F7004" w:rsidP="00561649">
      <w:pPr>
        <w:wordWrap/>
        <w:snapToGrid w:val="0"/>
        <w:spacing w:line="276" w:lineRule="auto"/>
        <w:ind w:left="400" w:firstLineChars="200" w:firstLine="44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일반사모집합투자기구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관계회사 간의 이해상충 </w:t>
      </w:r>
    </w:p>
    <w:p w14:paraId="3DED9EAF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2. 회사가 운용하는 집합투자기구 간의 이해상충으로 다음 각 목에 해당하는 이해상충</w:t>
      </w:r>
    </w:p>
    <w:p w14:paraId="5FED730B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가.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일반사모집합투자기구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간의 이해상충</w:t>
      </w:r>
    </w:p>
    <w:p w14:paraId="3363542C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나.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일반사모집합투자기구와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기관전용사모집합투자기구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간의 이해상충</w:t>
      </w:r>
    </w:p>
    <w:p w14:paraId="04A0FA66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다.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일반사모집합투자기구와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다른 집합투자기구 간의 이해상충</w:t>
      </w:r>
    </w:p>
    <w:p w14:paraId="2EB2C970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다.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투자일임재산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또는 신탁재산 간의 이해상충</w:t>
      </w:r>
    </w:p>
    <w:p w14:paraId="2253C187" w14:textId="2B6D5865" w:rsidR="00BA185A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3. 회사의 임직원(임직원의 특수관계인을 포함한다)과 집합투자기구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간의</w:t>
      </w:r>
      <w:r w:rsidR="00BA185A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이해상충</w:t>
      </w:r>
    </w:p>
    <w:p w14:paraId="1BE691E0" w14:textId="2CC682FF" w:rsidR="005F7004" w:rsidRPr="005F7004" w:rsidRDefault="005F7004" w:rsidP="00561649">
      <w:pPr>
        <w:wordWrap/>
        <w:snapToGrid w:val="0"/>
        <w:spacing w:line="276" w:lineRule="auto"/>
        <w:ind w:left="200"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으로서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다음 각 목의 어느 하나에 해당하는 이해상충 </w:t>
      </w:r>
    </w:p>
    <w:p w14:paraId="7776FD16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가. 선행매매로 인한 이해상충 </w:t>
      </w:r>
    </w:p>
    <w:p w14:paraId="2AD83678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나. 개인적인 투자행위로 인한 이해상충 </w:t>
      </w:r>
    </w:p>
    <w:p w14:paraId="43AE6EA3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다. 다른 업무의 겸영 등 대외활동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인한 이해상충 </w:t>
      </w:r>
    </w:p>
    <w:p w14:paraId="15D74347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라. 재산상 이익 또는 향응의 제공이나 수령으로 인한 이해상충 </w:t>
      </w:r>
    </w:p>
    <w:p w14:paraId="7E3CA905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4. 동일한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집합투자기구에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투자하는 투자자 사이의 이해상충으로서 다음 각 목의 어느 하나에 해당하는 이해상충</w:t>
      </w:r>
    </w:p>
    <w:p w14:paraId="782D27CA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가. 투자의사결정 과정에의 관여 또는 특정 조건의 투자로 인한 이해상충 </w:t>
      </w:r>
    </w:p>
    <w:p w14:paraId="775C5DB3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나. 투자운용인력 등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일반사모집합투자기구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업무 수행 임직원의 특정 또는 교체로 인한 이해상충 </w:t>
      </w:r>
    </w:p>
    <w:p w14:paraId="2D839CD5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lastRenderedPageBreak/>
        <w:t xml:space="preserve">다. 다른 투자자와의 다른 청약 또는 환매 처리로 인한 이해상충 </w:t>
      </w:r>
    </w:p>
    <w:p w14:paraId="2D245426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라. 그 밖에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투자자간의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형평성을 해할 수 있는 요청으로 인한 이해상충 </w:t>
      </w:r>
    </w:p>
    <w:p w14:paraId="65BCF531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5. 그 밖에 이와 유사한 것으로 회사가 달리 정한 이해상충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</w:p>
    <w:p w14:paraId="1D174C45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② 임직원은 제1항 각 호의 어느 하나에 해당하는 이해상충이 발생할 수 있는 사안을 인지하는 경우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해당 및 후속 거래를 잠정적으로 중단하고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준법감시인에게 지체 없이 보고하여야 한다.</w:t>
      </w:r>
      <w:r w:rsidRPr="005F7004">
        <w:rPr>
          <w:rFonts w:ascii="바탕체" w:eastAsia="바탕체" w:hAnsi="바탕체" w:cs="굴림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또한, 이해상충을 최소화할 수 있는 대응방안을 사전적으로 협의하여 마련하고 실행하여야 한다.</w:t>
      </w:r>
    </w:p>
    <w:p w14:paraId="21D5A306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1BDBDA40" w14:textId="77777777" w:rsidR="005F7004" w:rsidRPr="005F7004" w:rsidRDefault="005F7004" w:rsidP="00561649">
      <w:pPr>
        <w:wordWrap/>
        <w:snapToGrid w:val="0"/>
        <w:spacing w:line="276" w:lineRule="auto"/>
        <w:ind w:right="100"/>
        <w:jc w:val="center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제4장 정보교류차단</w:t>
      </w:r>
    </w:p>
    <w:p w14:paraId="5C507E26" w14:textId="77777777" w:rsidR="005F7004" w:rsidRPr="005F7004" w:rsidRDefault="005F7004" w:rsidP="00561649">
      <w:pPr>
        <w:wordWrap/>
        <w:snapToGrid w:val="0"/>
        <w:spacing w:line="276" w:lineRule="auto"/>
        <w:ind w:right="100"/>
        <w:jc w:val="center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</w:p>
    <w:p w14:paraId="17045ACA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제6조(정보교류차단 대상 부문의 설정 및 대상 정보의 종류)</w:t>
      </w:r>
    </w:p>
    <w:p w14:paraId="1D1BA8D7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① 회사는 이해상충 발생 가능성이 큰 다음 각 호의 부문 간에는 관련법규에 따라 정보교류차단장치를 설치하여야 한다.</w:t>
      </w:r>
    </w:p>
    <w:p w14:paraId="0E719B77" w14:textId="77777777" w:rsidR="007F5EAD" w:rsidRPr="007F5EAD" w:rsidRDefault="005F7004" w:rsidP="00561649">
      <w:pPr>
        <w:numPr>
          <w:ilvl w:val="0"/>
          <w:numId w:val="11"/>
        </w:numPr>
        <w:wordWrap/>
        <w:snapToGrid w:val="0"/>
        <w:spacing w:line="276" w:lineRule="auto"/>
        <w:ind w:left="198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집합투자재산 운용업무. 다만, 제7조제2항제1호에 정한 자산에 대한 운용업무는</w:t>
      </w:r>
    </w:p>
    <w:p w14:paraId="4928EF16" w14:textId="412F1B4C" w:rsidR="005F7004" w:rsidRPr="005F7004" w:rsidRDefault="005F7004" w:rsidP="00561649">
      <w:pPr>
        <w:wordWrap/>
        <w:snapToGrid w:val="0"/>
        <w:spacing w:line="276" w:lineRule="auto"/>
        <w:ind w:left="198"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제외한다.</w:t>
      </w:r>
    </w:p>
    <w:p w14:paraId="0852F142" w14:textId="212286C1" w:rsidR="007F5EAD" w:rsidRPr="007F5EAD" w:rsidRDefault="005F7004" w:rsidP="00561649">
      <w:pPr>
        <w:pStyle w:val="a4"/>
        <w:numPr>
          <w:ilvl w:val="0"/>
          <w:numId w:val="11"/>
        </w:numPr>
        <w:wordWrap/>
        <w:snapToGrid w:val="0"/>
        <w:spacing w:line="276" w:lineRule="auto"/>
        <w:ind w:leftChars="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>고유재산 운용업무. 다만 이해상충이 발생할 가능성이 크지 아니한 다음 각 목의</w:t>
      </w:r>
    </w:p>
    <w:p w14:paraId="4268F48F" w14:textId="75C317EE" w:rsidR="005F7004" w:rsidRPr="007F5EAD" w:rsidRDefault="005F7004" w:rsidP="00561649">
      <w:pPr>
        <w:pStyle w:val="a4"/>
        <w:wordWrap/>
        <w:snapToGrid w:val="0"/>
        <w:spacing w:line="276" w:lineRule="auto"/>
        <w:ind w:leftChars="0" w:left="0" w:firstLineChars="200" w:firstLine="44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>금융투자상품에 대한 운용업무는 제외한다.</w:t>
      </w:r>
    </w:p>
    <w:p w14:paraId="59B159AD" w14:textId="209C2751" w:rsidR="007F5EAD" w:rsidRPr="007F5EAD" w:rsidRDefault="005F7004" w:rsidP="00561649">
      <w:pPr>
        <w:pStyle w:val="a4"/>
        <w:numPr>
          <w:ilvl w:val="1"/>
          <w:numId w:val="11"/>
        </w:numPr>
        <w:wordWrap/>
        <w:snapToGrid w:val="0"/>
        <w:spacing w:line="276" w:lineRule="auto"/>
        <w:ind w:leftChars="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국채증권, 지방채증권, </w:t>
      </w:r>
      <w:proofErr w:type="spellStart"/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>특수채증권</w:t>
      </w:r>
      <w:proofErr w:type="spellEnd"/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, </w:t>
      </w:r>
      <w:proofErr w:type="spellStart"/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>주식·사채</w:t>
      </w:r>
      <w:proofErr w:type="spellEnd"/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등의 전자등록에 관한 법률에</w:t>
      </w:r>
    </w:p>
    <w:p w14:paraId="4F7AFC6C" w14:textId="2C0962BA" w:rsidR="005F7004" w:rsidRPr="007F5EAD" w:rsidRDefault="005F7004" w:rsidP="00561649">
      <w:pPr>
        <w:pStyle w:val="a4"/>
        <w:wordWrap/>
        <w:snapToGrid w:val="0"/>
        <w:spacing w:line="276" w:lineRule="auto"/>
        <w:ind w:leftChars="0" w:left="0"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</w:t>
      </w:r>
      <w:r w:rsid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  </w:t>
      </w: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따른 </w:t>
      </w:r>
      <w:proofErr w:type="spellStart"/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>단기사채등</w:t>
      </w:r>
      <w:proofErr w:type="spellEnd"/>
    </w:p>
    <w:p w14:paraId="3C329958" w14:textId="77777777" w:rsidR="005F7004" w:rsidRPr="005F7004" w:rsidRDefault="005F7004" w:rsidP="00561649">
      <w:pPr>
        <w:wordWrap/>
        <w:snapToGrid w:val="0"/>
        <w:spacing w:line="276" w:lineRule="auto"/>
        <w:ind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나.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단기금융집합투자기구의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집합투자증권</w:t>
      </w:r>
    </w:p>
    <w:p w14:paraId="7C31A433" w14:textId="77777777" w:rsidR="005F7004" w:rsidRPr="005F7004" w:rsidRDefault="005F7004" w:rsidP="00561649">
      <w:pPr>
        <w:wordWrap/>
        <w:snapToGrid w:val="0"/>
        <w:spacing w:line="276" w:lineRule="auto"/>
        <w:ind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다.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환매조건부매매로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매수 또는 매도한 증권</w:t>
      </w:r>
    </w:p>
    <w:p w14:paraId="17753390" w14:textId="77777777" w:rsidR="005F7004" w:rsidRPr="005F7004" w:rsidRDefault="005F7004" w:rsidP="00561649">
      <w:pPr>
        <w:wordWrap/>
        <w:snapToGrid w:val="0"/>
        <w:spacing w:line="276" w:lineRule="auto"/>
        <w:ind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라. 자회사 주식으로서 증권시장에 상장되지 아니한 주권</w:t>
      </w:r>
    </w:p>
    <w:p w14:paraId="23942F21" w14:textId="77777777" w:rsidR="007F5EAD" w:rsidRDefault="005F7004" w:rsidP="00561649">
      <w:pPr>
        <w:wordWrap/>
        <w:snapToGrid w:val="0"/>
        <w:spacing w:line="276" w:lineRule="auto"/>
        <w:ind w:firstLineChars="100" w:firstLine="22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마. 한국거래소, 한국예탁결제원, 전자등록기관 또는 증권금융회사가 발행한</w:t>
      </w:r>
    </w:p>
    <w:p w14:paraId="0647D8AF" w14:textId="06E0C2A8" w:rsidR="005F7004" w:rsidRPr="005F7004" w:rsidRDefault="005F7004" w:rsidP="00561649">
      <w:pPr>
        <w:wordWrap/>
        <w:snapToGrid w:val="0"/>
        <w:spacing w:line="276" w:lineRule="auto"/>
        <w:ind w:firstLineChars="300" w:firstLine="66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주권으로서 증권시장에 상장되지 아니한 주권</w:t>
      </w:r>
    </w:p>
    <w:p w14:paraId="2DA67E70" w14:textId="77777777" w:rsidR="007F5EAD" w:rsidRDefault="005F7004" w:rsidP="00561649">
      <w:pPr>
        <w:wordWrap/>
        <w:snapToGrid w:val="0"/>
        <w:spacing w:line="276" w:lineRule="auto"/>
        <w:ind w:firstLineChars="100" w:firstLine="22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바. 소송 등으로 인하여 발생할 수 있는 손실을 회피하기 위한 경우 등 경영의 건전성</w:t>
      </w:r>
    </w:p>
    <w:p w14:paraId="1FD812E8" w14:textId="77777777" w:rsidR="007F5EAD" w:rsidRDefault="005F7004" w:rsidP="00561649">
      <w:pPr>
        <w:wordWrap/>
        <w:snapToGrid w:val="0"/>
        <w:spacing w:line="276" w:lineRule="auto"/>
        <w:ind w:firstLineChars="300" w:firstLine="66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유지를 위해 불가피한 거래로서 당해 거래에 따른 이해상충 발생가능성이 없다고 </w:t>
      </w:r>
    </w:p>
    <w:p w14:paraId="0D505BFD" w14:textId="674D6993" w:rsidR="005F7004" w:rsidRPr="005F7004" w:rsidRDefault="005F7004" w:rsidP="00561649">
      <w:pPr>
        <w:wordWrap/>
        <w:snapToGrid w:val="0"/>
        <w:spacing w:line="276" w:lineRule="auto"/>
        <w:ind w:firstLineChars="300" w:firstLine="66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금융감독원장의 인정을 받아서 거래하는 금융투자상품</w:t>
      </w:r>
    </w:p>
    <w:p w14:paraId="7DCB2112" w14:textId="77777777" w:rsidR="007F5EAD" w:rsidRDefault="005F7004" w:rsidP="00561649">
      <w:pPr>
        <w:wordWrap/>
        <w:snapToGrid w:val="0"/>
        <w:spacing w:line="276" w:lineRule="auto"/>
        <w:ind w:firstLineChars="100" w:firstLine="22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사. 그 밖에 정보교류에 따른 이해상충이 발생할 가능성이 없다고 금융감독원장의 </w:t>
      </w:r>
    </w:p>
    <w:p w14:paraId="5EE5A50B" w14:textId="3F5A1457" w:rsidR="005F7004" w:rsidRPr="005F7004" w:rsidRDefault="005F7004" w:rsidP="00561649">
      <w:pPr>
        <w:wordWrap/>
        <w:snapToGrid w:val="0"/>
        <w:spacing w:line="276" w:lineRule="auto"/>
        <w:ind w:firstLineChars="300" w:firstLine="66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인정을 받아서 거래하는 금융투자상품 </w:t>
      </w:r>
    </w:p>
    <w:p w14:paraId="2AF97050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3. PEF투자재산 운용업무</w:t>
      </w:r>
    </w:p>
    <w:p w14:paraId="3E567452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② 제1항 각 호의 부문별 정보교류차단 대상 정보의 종류는 다음 각 호와 같다.</w:t>
      </w:r>
    </w:p>
    <w:p w14:paraId="25A34C6D" w14:textId="7A6CC75B" w:rsidR="007F5EAD" w:rsidRDefault="007F5EAD" w:rsidP="00561649">
      <w:pPr>
        <w:wordWrap/>
        <w:snapToGrid w:val="0"/>
        <w:spacing w:line="276" w:lineRule="auto"/>
        <w:ind w:left="896" w:hanging="35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>1.</w:t>
      </w:r>
      <w:r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</w:t>
      </w:r>
      <w:r w:rsidR="005F7004"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집합투자재산 운용업무 부문: 집합투자재산의 구성내역과 운용에 관한 </w:t>
      </w:r>
    </w:p>
    <w:p w14:paraId="15B93DAA" w14:textId="47370ABA" w:rsidR="005F7004" w:rsidRPr="005F7004" w:rsidRDefault="005F7004" w:rsidP="00561649">
      <w:pPr>
        <w:wordWrap/>
        <w:snapToGrid w:val="0"/>
        <w:spacing w:line="276" w:lineRule="auto"/>
        <w:ind w:left="896" w:hanging="35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정보(제7조제2항 각 호의 정보는 제외한다)</w:t>
      </w:r>
    </w:p>
    <w:p w14:paraId="20307112" w14:textId="4F4A942E" w:rsidR="007F5EAD" w:rsidRPr="007F5EAD" w:rsidRDefault="005F7004" w:rsidP="00561649">
      <w:pPr>
        <w:pStyle w:val="a4"/>
        <w:numPr>
          <w:ilvl w:val="0"/>
          <w:numId w:val="12"/>
        </w:numPr>
        <w:wordWrap/>
        <w:snapToGrid w:val="0"/>
        <w:spacing w:line="276" w:lineRule="auto"/>
        <w:ind w:leftChars="0"/>
        <w:textAlignment w:val="baseline"/>
        <w:rPr>
          <w:rFonts w:ascii="바탕체" w:eastAsia="바탕체" w:hAnsi="바탕체" w:cs="함초롬바탕"/>
          <w:kern w:val="0"/>
          <w:sz w:val="22"/>
          <w:szCs w:val="22"/>
        </w:rPr>
      </w:pP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>고유재산 운용업무 부문: 회사의 금융투자상품(제1항제2호 각 목의</w:t>
      </w:r>
      <w:r w:rsid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금융투자상품은</w:t>
      </w:r>
    </w:p>
    <w:p w14:paraId="7E7F6E5B" w14:textId="5B62DD10" w:rsidR="005F7004" w:rsidRPr="007F5EAD" w:rsidRDefault="005F7004" w:rsidP="00561649">
      <w:pPr>
        <w:pStyle w:val="a4"/>
        <w:wordWrap/>
        <w:snapToGrid w:val="0"/>
        <w:spacing w:line="276" w:lineRule="auto"/>
        <w:ind w:leftChars="0" w:left="142"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7F5EAD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제외한다) 매매 및 소유현황에 관한 정보</w:t>
      </w:r>
    </w:p>
    <w:p w14:paraId="79B9A3D3" w14:textId="77777777" w:rsidR="005F7004" w:rsidRPr="005F7004" w:rsidRDefault="005F7004" w:rsidP="00561649">
      <w:pPr>
        <w:wordWrap/>
        <w:snapToGrid w:val="0"/>
        <w:spacing w:line="276" w:lineRule="auto"/>
        <w:ind w:firstLineChars="100" w:firstLine="22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3. PEF재산 운용업무 부문 : 집합투자재산의 구성내역과 운용에 관한 정보</w:t>
      </w:r>
    </w:p>
    <w:p w14:paraId="61CEBEC6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③ 회사는 정보교류 차단장치를 설치함에 있어 사내 정보교류차단장치와 사외 정보교류차단장치로 구분하여 설치한다.</w:t>
      </w:r>
    </w:p>
    <w:p w14:paraId="5379AC23" w14:textId="77777777" w:rsidR="005F7004" w:rsidRPr="005F7004" w:rsidRDefault="005F7004" w:rsidP="00561649">
      <w:pPr>
        <w:wordWrap/>
        <w:snapToGrid w:val="0"/>
        <w:spacing w:line="276" w:lineRule="auto"/>
        <w:ind w:right="1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④ 정보교류차단장치 설치대상은 각 부문의 교류차단정보를 생산하는 업무담당부서로 한정하고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후선업무담당부서는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차단장치 설치대상에 포함하지 아니하며, 정보교류차단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lastRenderedPageBreak/>
        <w:t xml:space="preserve">비대상 부문 중 감사, 인사, 회계, 재무, 경영지원, 경영분석, 상품개발, 전산, 결제, 법무, 준법감시 및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리스크관리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등 업무를 수행하는 임직원에 대하여 정보교류차단 대상 부문과 상시 정보교류를 허용한다.</w:t>
      </w:r>
    </w:p>
    <w:p w14:paraId="7DCD9E5E" w14:textId="581B2D13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⑤ 정보교류차단 대상 부문 간, 정보교류차단 대상 부문과 정보교류차단 비대상 부문 간 정보교류차단 대상 정보를 교류하고자 하는 임직원은 정보 교류차단 대상 부문별 책임자와 정보교류통제 담당임원(준법감시인)의 승인을 받아야 한다.</w:t>
      </w:r>
    </w:p>
    <w:p w14:paraId="54416C51" w14:textId="77777777" w:rsidR="005F7004" w:rsidRPr="009639A0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6CE5361E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제7조(정보교류차단 대상 정보에서 제외하는 정보)</w:t>
      </w:r>
    </w:p>
    <w:p w14:paraId="3059FCCF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① 다음 각 호의 정보는 정보교류차단 대상 정보에서 제외한다.</w:t>
      </w:r>
    </w:p>
    <w:p w14:paraId="074457DC" w14:textId="77777777" w:rsidR="005F7004" w:rsidRPr="005F7004" w:rsidRDefault="005F7004" w:rsidP="00561649">
      <w:pPr>
        <w:wordWrap/>
        <w:snapToGrid w:val="0"/>
        <w:spacing w:line="276" w:lineRule="auto"/>
        <w:ind w:left="926" w:hanging="364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1. 투자자가 보유한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주식·사채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등의 전자등록에 관한 법률 제2조제4호에 따른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전자등록주식등의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총액과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전자등록주식등의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종류별 총액에 관한 정보</w:t>
      </w:r>
    </w:p>
    <w:p w14:paraId="63EB5169" w14:textId="77777777" w:rsidR="005F7004" w:rsidRPr="005F7004" w:rsidRDefault="005F7004" w:rsidP="00561649">
      <w:pPr>
        <w:wordWrap/>
        <w:snapToGrid w:val="0"/>
        <w:spacing w:line="276" w:lineRule="auto"/>
        <w:ind w:left="860" w:hanging="33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2. 투자자가 예탁한 증권의 총액과 증권의 종류별 총액에 관한 정보</w:t>
      </w:r>
    </w:p>
    <w:p w14:paraId="559F15B7" w14:textId="77777777" w:rsidR="005F7004" w:rsidRPr="005F7004" w:rsidRDefault="005F7004" w:rsidP="00561649">
      <w:pPr>
        <w:wordWrap/>
        <w:snapToGrid w:val="0"/>
        <w:spacing w:line="276" w:lineRule="auto"/>
        <w:ind w:left="860" w:hanging="33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3. 채무증권의 종목별 총액에 관한 정보</w:t>
      </w:r>
    </w:p>
    <w:p w14:paraId="5310EEE3" w14:textId="77777777" w:rsidR="005F7004" w:rsidRPr="005F7004" w:rsidRDefault="005F7004" w:rsidP="00561649">
      <w:pPr>
        <w:wordWrap/>
        <w:snapToGrid w:val="0"/>
        <w:spacing w:line="276" w:lineRule="auto"/>
        <w:ind w:left="880" w:hanging="34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4. 신용정보의 이용 및 보호에 관한 법률 제32조에 따라 제공의 동의를 받거나 제33조의2에 따른 전송요구를 받은 개인신용정보</w:t>
      </w:r>
    </w:p>
    <w:p w14:paraId="4BA95966" w14:textId="77777777" w:rsidR="005F7004" w:rsidRPr="005F7004" w:rsidRDefault="005F7004" w:rsidP="00561649">
      <w:pPr>
        <w:wordWrap/>
        <w:snapToGrid w:val="0"/>
        <w:spacing w:line="276" w:lineRule="auto"/>
        <w:ind w:left="882" w:hanging="342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5. 기타 이해상충 발생 우려가 없는 정보로서 정보교류통제 담당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임원등의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승인을 받은 정보</w:t>
      </w:r>
    </w:p>
    <w:p w14:paraId="3AD77D37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② 다음 각 호의 정보는 정보교류차단 대상 정보에서 제외한다.</w:t>
      </w:r>
    </w:p>
    <w:p w14:paraId="77EB74AE" w14:textId="77777777" w:rsidR="005F7004" w:rsidRPr="005F7004" w:rsidRDefault="005F7004" w:rsidP="00561649">
      <w:pPr>
        <w:wordWrap/>
        <w:snapToGrid w:val="0"/>
        <w:spacing w:line="276" w:lineRule="auto"/>
        <w:ind w:left="900" w:hanging="35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1. 부동산(법 제229조제2호에 따른 “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부동산”을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말한다) 및 특별자산(법 제229조제3호에 따른 “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특별자산”을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말한다) 운용 관련 정보. 다만 상장 지분증권에 관한 정보는 제외한다.</w:t>
      </w:r>
    </w:p>
    <w:p w14:paraId="1EE81EEA" w14:textId="77777777" w:rsidR="005F7004" w:rsidRPr="005F7004" w:rsidRDefault="005F7004" w:rsidP="00561649">
      <w:pPr>
        <w:wordWrap/>
        <w:snapToGrid w:val="0"/>
        <w:spacing w:line="276" w:lineRule="auto"/>
        <w:ind w:left="860" w:hanging="33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2. 집합투자재산의 구성내역 및 운용에 관한 정보 중 5영업일이 경과한 정보</w:t>
      </w:r>
    </w:p>
    <w:p w14:paraId="49F6B978" w14:textId="77777777" w:rsidR="005F7004" w:rsidRPr="005F7004" w:rsidRDefault="005F7004" w:rsidP="00561649">
      <w:pPr>
        <w:wordWrap/>
        <w:snapToGrid w:val="0"/>
        <w:spacing w:line="276" w:lineRule="auto"/>
        <w:ind w:left="910" w:hanging="356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3. 기타 이해상충 우려가 없는 정보로서 정보교류통제 담당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임원등의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승인을 받은 정보</w:t>
      </w:r>
    </w:p>
    <w:p w14:paraId="19360EDB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49E4AE5E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제8조(거래제한 상품 목록 지정 기준)</w:t>
      </w:r>
    </w:p>
    <w:p w14:paraId="65021893" w14:textId="0B00989E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회사는 회사와 다음 각 호의 어느 하나에 해당하는 관계에 있는 법인이 발행한 금융투자상품에 대하여 회사의 계산에 의한 매매 및 해당 정보를 보유한 임직원의 자기계산에 의한 매매 등(이하 </w:t>
      </w:r>
      <w:proofErr w:type="spellStart"/>
      <w:proofErr w:type="gram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매매거래등</w:t>
      </w:r>
      <w:proofErr w:type="spellEnd"/>
      <w:r w:rsidR="007F5EAD">
        <w:rPr>
          <w:rFonts w:ascii="바탕체" w:eastAsia="바탕체" w:hAnsi="바탕체" w:cs="바탕체" w:hint="eastAsia"/>
          <w:kern w:val="0"/>
          <w:sz w:val="22"/>
          <w:szCs w:val="22"/>
        </w:rPr>
        <w:t xml:space="preserve">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이라</w:t>
      </w:r>
      <w:proofErr w:type="gram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한다)이 제한되도록 해당 법인을 거래제한 상품 목록으로 지정하고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기록·유지하여야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한다. </w:t>
      </w:r>
    </w:p>
    <w:p w14:paraId="1C75A3BC" w14:textId="77777777" w:rsidR="005F7004" w:rsidRPr="005F7004" w:rsidRDefault="005F7004" w:rsidP="00561649">
      <w:pPr>
        <w:wordWrap/>
        <w:snapToGrid w:val="0"/>
        <w:spacing w:line="276" w:lineRule="auto"/>
        <w:ind w:left="872" w:hanging="336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1. 회사가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인수·합병의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중개·주선·대리·조언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업무, 주권(주권관련사채권을 포함한다)의 인수업무 및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모집·사모·매출의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주선업무 또는 지분의 매각 및 취득의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중개·주선·대리·조언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업무를 수행하는 경우. 다만, 당해 업무의 규모 및 중요도 등을 감안하여 합리적인 사유가 있는 경우 거래제한 상품 목록에서 제외할 수 있다.</w:t>
      </w:r>
    </w:p>
    <w:p w14:paraId="68171F16" w14:textId="77777777" w:rsidR="005F7004" w:rsidRPr="005F7004" w:rsidRDefault="005F7004" w:rsidP="00561649">
      <w:pPr>
        <w:wordWrap/>
        <w:snapToGrid w:val="0"/>
        <w:spacing w:line="276" w:lineRule="auto"/>
        <w:ind w:left="846" w:hanging="324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2. 법률 또는 계약에 의하여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매매거래등이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제한되어 있는 경우</w:t>
      </w:r>
    </w:p>
    <w:p w14:paraId="5A108D3F" w14:textId="77777777" w:rsidR="005F7004" w:rsidRPr="005F7004" w:rsidRDefault="005F7004" w:rsidP="00561649">
      <w:pPr>
        <w:wordWrap/>
        <w:snapToGrid w:val="0"/>
        <w:spacing w:line="276" w:lineRule="auto"/>
        <w:ind w:left="846" w:hanging="324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3. 그 밖에 회사가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매매거래등을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제한하는 것이 타당하다고 인정하는 경우</w:t>
      </w:r>
    </w:p>
    <w:p w14:paraId="48078633" w14:textId="77777777" w:rsidR="005F7004" w:rsidRPr="005F7004" w:rsidRDefault="005F7004" w:rsidP="00561649">
      <w:pPr>
        <w:wordWrap/>
        <w:snapToGrid w:val="0"/>
        <w:spacing w:line="276" w:lineRule="auto"/>
        <w:ind w:left="198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63B423F9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제9조(거래주의 상품 목록 지정 기준)</w:t>
      </w:r>
    </w:p>
    <w:p w14:paraId="10D4F24F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회사는 다음 각 호의 어느 하나에 해당하는 관계에 있는 법인을 거래주의 상품 목록으로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lastRenderedPageBreak/>
        <w:t xml:space="preserve">지정하고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기록·유지하여야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하며, 해당 법인이 발행한 금융투자상품을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매매거래등의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대상으로 하는 경우 회사 및 임직원과 투자자 간, 회사와 임직원 간 이해상충이 발생하지 않도록 주의의무를 다하여야 한다. </w:t>
      </w:r>
    </w:p>
    <w:p w14:paraId="546074EC" w14:textId="77777777" w:rsidR="005F7004" w:rsidRPr="005F7004" w:rsidRDefault="005F7004" w:rsidP="00561649">
      <w:pPr>
        <w:wordWrap/>
        <w:snapToGrid w:val="0"/>
        <w:spacing w:line="276" w:lineRule="auto"/>
        <w:ind w:left="848" w:hanging="324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1. 회사가 지급보증업무 또는 기타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채권·채무자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등으로 참여 또는 관여하는 경우</w:t>
      </w:r>
    </w:p>
    <w:p w14:paraId="137272BB" w14:textId="77777777" w:rsidR="005F7004" w:rsidRPr="005F7004" w:rsidRDefault="005F7004" w:rsidP="00561649">
      <w:pPr>
        <w:wordWrap/>
        <w:snapToGrid w:val="0"/>
        <w:spacing w:line="276" w:lineRule="auto"/>
        <w:ind w:left="900" w:hanging="350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2. 회사를 법 제133조제2항에 따른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공개매수사무취급자로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지정한 법인 및 해당 법인이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공개매수하고자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하는 증권을 발행한 법인. 다만, 공개매수기간이 경과하지 아니한 경우에 한한다. </w:t>
      </w:r>
    </w:p>
    <w:p w14:paraId="28A8201D" w14:textId="77777777" w:rsidR="005F7004" w:rsidRPr="005F7004" w:rsidRDefault="005F7004" w:rsidP="00561649">
      <w:pPr>
        <w:wordWrap/>
        <w:snapToGrid w:val="0"/>
        <w:spacing w:line="276" w:lineRule="auto"/>
        <w:ind w:left="902" w:hanging="352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3. 제8조제1호의 업무와 관련하여 투자자가 해당 업무를 회사에 위탁할 의사를 표시하였거나 회사에 의뢰한 경우</w:t>
      </w:r>
    </w:p>
    <w:p w14:paraId="54E4CA81" w14:textId="77777777" w:rsidR="005F7004" w:rsidRPr="005F7004" w:rsidRDefault="005F7004" w:rsidP="00561649">
      <w:pPr>
        <w:wordWrap/>
        <w:snapToGrid w:val="0"/>
        <w:spacing w:line="276" w:lineRule="auto"/>
        <w:ind w:left="880" w:hanging="340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4. 회사가 제8조제1호의 업무를 수행하면서 상대 법인과 비밀유지약정을 체결한 경우로서 일반에게 알려지지 않은 경우(법 시행령 제201조제1항 각 호의 정보 및 그 기간이 경과하지 않은 경우를 말한다)</w:t>
      </w:r>
    </w:p>
    <w:p w14:paraId="6839AC20" w14:textId="77777777" w:rsidR="005F7004" w:rsidRPr="005F7004" w:rsidRDefault="005F7004" w:rsidP="00561649">
      <w:pPr>
        <w:wordWrap/>
        <w:snapToGrid w:val="0"/>
        <w:spacing w:line="276" w:lineRule="auto"/>
        <w:ind w:left="850" w:hanging="326"/>
        <w:textAlignment w:val="baseline"/>
        <w:rPr>
          <w:rFonts w:ascii="바탕체" w:eastAsia="바탕체" w:hAnsi="바탕체" w:cs="굴림"/>
          <w:spacing w:val="-10"/>
          <w:w w:val="97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5. 계열회사 관계 또는 발행주식 총수의 5% 이상 보유하고 있는 법인 등 매매거래 등에 주의를 기울이는 것이 필요하다고 인정되는 경우</w:t>
      </w:r>
    </w:p>
    <w:p w14:paraId="078D2BBC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</w:p>
    <w:p w14:paraId="4DD3722F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제10조(다른 법률에 따른 제한)</w:t>
      </w:r>
    </w:p>
    <w:p w14:paraId="43D05954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정보교류차단과 관련하여 내부통제기준 및 이 규정에 별도의 제한이 없더라도 금융실명거래 및 비밀보장에 관한 법률, 신용정보의 이용 및 보호에 관한 법률, 법에 정한 업무위탁에 관한 규제, 미공개 중요정보 이용금지, 자료의 </w:t>
      </w:r>
      <w:proofErr w:type="spellStart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기록·유지</w:t>
      </w:r>
      <w:proofErr w:type="spellEnd"/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 등과 관련된 별도의 제한은 당연히 적용된다.</w:t>
      </w:r>
    </w:p>
    <w:p w14:paraId="2AFFC6B4" w14:textId="77777777" w:rsidR="005F7004" w:rsidRPr="005F7004" w:rsidRDefault="005F7004" w:rsidP="00561649">
      <w:pPr>
        <w:wordWrap/>
        <w:snapToGrid w:val="0"/>
        <w:spacing w:line="276" w:lineRule="auto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3176C367" w14:textId="77777777" w:rsidR="005F7004" w:rsidRPr="005F7004" w:rsidRDefault="005F7004" w:rsidP="00561649">
      <w:pPr>
        <w:wordWrap/>
        <w:snapToGrid w:val="0"/>
        <w:spacing w:line="276" w:lineRule="auto"/>
        <w:ind w:left="4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3433225B" w14:textId="77777777" w:rsidR="005F7004" w:rsidRPr="005F7004" w:rsidRDefault="005F7004" w:rsidP="00561649">
      <w:pPr>
        <w:wordWrap/>
        <w:snapToGrid w:val="0"/>
        <w:spacing w:line="276" w:lineRule="auto"/>
        <w:ind w:left="2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28B9D207" w14:textId="77777777" w:rsidR="005F7004" w:rsidRPr="005F7004" w:rsidRDefault="005F7004" w:rsidP="00561649">
      <w:pPr>
        <w:wordWrap/>
        <w:snapToGrid w:val="0"/>
        <w:spacing w:line="276" w:lineRule="auto"/>
        <w:jc w:val="center"/>
        <w:textAlignment w:val="baseline"/>
        <w:rPr>
          <w:rFonts w:ascii="바탕체" w:eastAsia="바탕체" w:hAnsi="바탕체" w:cs="굴림"/>
          <w:b/>
          <w:bCs/>
          <w:kern w:val="0"/>
          <w:sz w:val="22"/>
          <w:szCs w:val="22"/>
        </w:rPr>
      </w:pPr>
    </w:p>
    <w:p w14:paraId="566C9B7C" w14:textId="77777777" w:rsidR="005F7004" w:rsidRPr="005F7004" w:rsidRDefault="005F7004" w:rsidP="00561649">
      <w:pPr>
        <w:shd w:val="clear" w:color="auto" w:fill="FFFFFF"/>
        <w:wordWrap/>
        <w:spacing w:line="276" w:lineRule="auto"/>
        <w:jc w:val="left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1F95D305" w14:textId="77777777" w:rsidR="005F7004" w:rsidRDefault="005F7004" w:rsidP="00561649">
      <w:pPr>
        <w:wordWrap/>
        <w:snapToGrid w:val="0"/>
        <w:spacing w:line="276" w:lineRule="auto"/>
        <w:ind w:right="100"/>
        <w:jc w:val="center"/>
        <w:textAlignment w:val="baseline"/>
        <w:rPr>
          <w:rFonts w:ascii="바탕체" w:eastAsia="바탕체" w:hAnsi="바탕체" w:cs="함초롬바탕"/>
          <w:b/>
          <w:bCs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>부 칙</w:t>
      </w:r>
    </w:p>
    <w:p w14:paraId="756B6676" w14:textId="77777777" w:rsidR="00394F0D" w:rsidRPr="005F7004" w:rsidRDefault="00394F0D" w:rsidP="00561649">
      <w:pPr>
        <w:wordWrap/>
        <w:snapToGrid w:val="0"/>
        <w:spacing w:line="276" w:lineRule="auto"/>
        <w:ind w:right="100"/>
        <w:jc w:val="center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</w:p>
    <w:p w14:paraId="51CD1AAB" w14:textId="3FCCFFA0" w:rsidR="005F7004" w:rsidRPr="005F7004" w:rsidRDefault="005F7004" w:rsidP="00561649">
      <w:pPr>
        <w:wordWrap/>
        <w:snapToGrid w:val="0"/>
        <w:spacing w:line="276" w:lineRule="auto"/>
        <w:ind w:right="100"/>
        <w:textAlignment w:val="baseline"/>
        <w:rPr>
          <w:rFonts w:ascii="바탕체" w:eastAsia="바탕체" w:hAnsi="바탕체" w:cs="굴림"/>
          <w:kern w:val="0"/>
          <w:sz w:val="22"/>
          <w:szCs w:val="22"/>
        </w:rPr>
      </w:pPr>
      <w:r w:rsidRPr="005F7004">
        <w:rPr>
          <w:rFonts w:ascii="바탕체" w:eastAsia="바탕체" w:hAnsi="바탕체" w:cs="함초롬바탕" w:hint="eastAsia"/>
          <w:b/>
          <w:bCs/>
          <w:kern w:val="0"/>
          <w:sz w:val="22"/>
          <w:szCs w:val="22"/>
        </w:rPr>
        <w:t xml:space="preserve">제1조(시행일) 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이 </w:t>
      </w:r>
      <w:r w:rsidR="00394F0D">
        <w:rPr>
          <w:rFonts w:ascii="바탕체" w:eastAsia="바탕체" w:hAnsi="바탕체" w:cs="함초롬바탕" w:hint="eastAsia"/>
          <w:kern w:val="0"/>
          <w:sz w:val="22"/>
          <w:szCs w:val="22"/>
        </w:rPr>
        <w:t>지침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>은 2025년 0</w:t>
      </w:r>
      <w:r w:rsidR="00561649" w:rsidRPr="00394F0D">
        <w:rPr>
          <w:rFonts w:ascii="바탕체" w:eastAsia="바탕체" w:hAnsi="바탕체" w:cs="함초롬바탕" w:hint="eastAsia"/>
          <w:kern w:val="0"/>
          <w:sz w:val="22"/>
          <w:szCs w:val="22"/>
        </w:rPr>
        <w:t>8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월 </w:t>
      </w:r>
      <w:r w:rsidR="00561649" w:rsidRPr="00394F0D">
        <w:rPr>
          <w:rFonts w:ascii="바탕체" w:eastAsia="바탕체" w:hAnsi="바탕체" w:cs="함초롬바탕" w:hint="eastAsia"/>
          <w:kern w:val="0"/>
          <w:sz w:val="22"/>
          <w:szCs w:val="22"/>
        </w:rPr>
        <w:t>19</w:t>
      </w:r>
      <w:r w:rsidRPr="005F7004">
        <w:rPr>
          <w:rFonts w:ascii="바탕체" w:eastAsia="바탕체" w:hAnsi="바탕체" w:cs="함초롬바탕" w:hint="eastAsia"/>
          <w:kern w:val="0"/>
          <w:sz w:val="22"/>
          <w:szCs w:val="22"/>
        </w:rPr>
        <w:t xml:space="preserve">일부터 시행한다. </w:t>
      </w:r>
    </w:p>
    <w:p w14:paraId="36E2AE6D" w14:textId="77777777" w:rsidR="005F7004" w:rsidRDefault="005F7004" w:rsidP="00394F0D">
      <w:pPr>
        <w:spacing w:line="360" w:lineRule="exact"/>
        <w:rPr>
          <w:rFonts w:hAnsi="바탕"/>
          <w:b/>
          <w:spacing w:val="-10"/>
        </w:rPr>
      </w:pPr>
    </w:p>
    <w:sectPr w:rsidR="005F7004" w:rsidSect="00931C1C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4864" w14:textId="77777777" w:rsidR="004444DB" w:rsidRDefault="004444DB" w:rsidP="00350DD0">
      <w:r>
        <w:separator/>
      </w:r>
    </w:p>
  </w:endnote>
  <w:endnote w:type="continuationSeparator" w:id="0">
    <w:p w14:paraId="60DE4B0C" w14:textId="77777777" w:rsidR="004444DB" w:rsidRDefault="004444DB" w:rsidP="0035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9855" w14:textId="77777777" w:rsidR="006F0361" w:rsidRDefault="006F0361" w:rsidP="006F0361">
    <w:pPr>
      <w:pStyle w:val="a6"/>
    </w:pPr>
  </w:p>
  <w:p w14:paraId="2106B34C" w14:textId="77777777" w:rsidR="006F0361" w:rsidRDefault="006F0361" w:rsidP="006F0361">
    <w:pPr>
      <w:pStyle w:val="a6"/>
      <w:rPr>
        <w:rFonts w:ascii="돋움" w:eastAsia="돋움"/>
        <w:b/>
        <w:bCs/>
      </w:rPr>
    </w:pPr>
    <w:r w:rsidRPr="00E44BE0">
      <w:rPr>
        <w:rFonts w:ascii="돋움" w:eastAsia="돋움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74F5B" wp14:editId="175C5AFC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715000" cy="28575"/>
              <wp:effectExtent l="0" t="0" r="19050" b="2857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285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FAB08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8.8pt,4.95pt" to="84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" strokecolor="red" strokeweight="2pt">
              <w10:wrap anchorx="margin"/>
            </v:line>
          </w:pict>
        </mc:Fallback>
      </mc:AlternateContent>
    </w:r>
  </w:p>
  <w:p w14:paraId="191929DA" w14:textId="77777777" w:rsidR="006F0361" w:rsidRPr="001D0013" w:rsidRDefault="006F0361" w:rsidP="006F0361">
    <w:pPr>
      <w:pStyle w:val="a6"/>
      <w:rPr>
        <w:sz w:val="22"/>
      </w:rPr>
    </w:pPr>
    <w:proofErr w:type="spellStart"/>
    <w:r w:rsidRPr="001D0013">
      <w:rPr>
        <w:rFonts w:ascii="돋움" w:eastAsia="돋움" w:hint="eastAsia"/>
        <w:b/>
        <w:bCs/>
        <w:sz w:val="22"/>
      </w:rPr>
      <w:t>리딩자산운용</w:t>
    </w:r>
    <w:proofErr w:type="spellEnd"/>
    <w:r w:rsidRPr="001D0013">
      <w:rPr>
        <w:rFonts w:ascii="돋움" w:eastAsia="돋움" w:hint="eastAsia"/>
        <w:b/>
        <w:bCs/>
        <w:sz w:val="22"/>
      </w:rPr>
      <w:t xml:space="preserve">                                                        </w:t>
    </w:r>
    <w:r>
      <w:rPr>
        <w:rFonts w:ascii="돋움" w:eastAsia="돋움"/>
        <w:b/>
        <w:bCs/>
        <w:sz w:val="22"/>
      </w:rPr>
      <w:t xml:space="preserve">     </w:t>
    </w:r>
    <w:r w:rsidRPr="001D0013">
      <w:rPr>
        <w:rFonts w:ascii="돋움" w:eastAsia="돋움" w:hint="eastAsia"/>
        <w:b/>
        <w:bCs/>
        <w:sz w:val="22"/>
      </w:rPr>
      <w:t xml:space="preserve">      </w:t>
    </w:r>
    <w:r w:rsidRPr="001D0013">
      <w:rPr>
        <w:rStyle w:val="a7"/>
        <w:rFonts w:ascii="Arial Rounded MT Bold" w:hAnsi="Arial Rounded MT Bold" w:cs="Arial"/>
        <w:sz w:val="22"/>
      </w:rPr>
      <w:fldChar w:fldCharType="begin"/>
    </w:r>
    <w:r w:rsidRPr="001D0013">
      <w:rPr>
        <w:rStyle w:val="a7"/>
        <w:rFonts w:ascii="Arial Rounded MT Bold" w:hAnsi="Arial Rounded MT Bold" w:cs="Arial"/>
        <w:sz w:val="22"/>
      </w:rPr>
      <w:instrText xml:space="preserve"> PAGE </w:instrText>
    </w:r>
    <w:r w:rsidRPr="001D0013">
      <w:rPr>
        <w:rStyle w:val="a7"/>
        <w:rFonts w:ascii="Arial Rounded MT Bold" w:hAnsi="Arial Rounded MT Bold" w:cs="Arial"/>
        <w:sz w:val="22"/>
      </w:rPr>
      <w:fldChar w:fldCharType="separate"/>
    </w:r>
    <w:r>
      <w:rPr>
        <w:rStyle w:val="a7"/>
        <w:rFonts w:ascii="Arial Rounded MT Bold" w:hAnsi="Arial Rounded MT Bold" w:cs="Arial"/>
        <w:sz w:val="22"/>
      </w:rPr>
      <w:t>2</w:t>
    </w:r>
    <w:r w:rsidRPr="001D0013">
      <w:rPr>
        <w:rStyle w:val="a7"/>
        <w:rFonts w:ascii="Arial Rounded MT Bold" w:hAnsi="Arial Rounded MT Bold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0C0F" w14:textId="77777777" w:rsidR="004444DB" w:rsidRDefault="004444DB" w:rsidP="00350DD0">
      <w:r>
        <w:separator/>
      </w:r>
    </w:p>
  </w:footnote>
  <w:footnote w:type="continuationSeparator" w:id="0">
    <w:p w14:paraId="765CDC90" w14:textId="77777777" w:rsidR="004444DB" w:rsidRDefault="004444DB" w:rsidP="0035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49C0" w14:textId="6936A8E4" w:rsidR="006F0361" w:rsidRPr="001F168E" w:rsidRDefault="00901BCA" w:rsidP="006F0361">
    <w:pPr>
      <w:pStyle w:val="a5"/>
      <w:ind w:right="95"/>
      <w:jc w:val="left"/>
    </w:pPr>
    <w:r>
      <w:rPr>
        <w:rFonts w:ascii="돋움" w:eastAsia="돋움" w:hint="eastAsia"/>
        <w:b/>
        <w:bCs/>
        <w:sz w:val="22"/>
      </w:rPr>
      <w:t>내부통제</w:t>
    </w:r>
    <w:r w:rsidR="006F0361">
      <w:rPr>
        <w:rFonts w:ascii="돋움" w:eastAsia="돋움" w:hint="eastAsia"/>
        <w:b/>
        <w:bCs/>
        <w:sz w:val="22"/>
      </w:rPr>
      <w:t xml:space="preserve"> </w:t>
    </w:r>
    <w:r w:rsidR="006F0361">
      <w:rPr>
        <w:rFonts w:ascii="돋움" w:eastAsia="돋움"/>
        <w:b/>
        <w:bCs/>
        <w:sz w:val="22"/>
      </w:rPr>
      <w:t xml:space="preserve">                            </w:t>
    </w:r>
    <w:r w:rsidR="006F0361" w:rsidRPr="001D0013">
      <w:rPr>
        <w:rFonts w:ascii="돋움" w:eastAsia="돋움"/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C8A8E" wp14:editId="29AC2FF2">
              <wp:simplePos x="0" y="0"/>
              <wp:positionH relativeFrom="margin">
                <wp:align>left</wp:align>
              </wp:positionH>
              <wp:positionV relativeFrom="paragraph">
                <wp:posOffset>250190</wp:posOffset>
              </wp:positionV>
              <wp:extent cx="5734050" cy="9525"/>
              <wp:effectExtent l="0" t="0" r="19050" b="2857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08D77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7pt" to="451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" strokecolor="red" strokeweight="2pt">
              <w10:wrap anchorx="margin"/>
            </v:line>
          </w:pict>
        </mc:Fallback>
      </mc:AlternateContent>
    </w:r>
    <w:r>
      <w:rPr>
        <w:rFonts w:ascii="돋움" w:eastAsia="돋움" w:hint="eastAsia"/>
        <w:b/>
        <w:bCs/>
        <w:sz w:val="22"/>
      </w:rPr>
      <w:t xml:space="preserve">                 </w:t>
    </w:r>
    <w:r w:rsidR="006F0361">
      <w:rPr>
        <w:rFonts w:ascii="돋움" w:eastAsia="돋움"/>
        <w:b/>
        <w:bCs/>
        <w:sz w:val="22"/>
      </w:rPr>
      <w:t xml:space="preserve"> </w:t>
    </w:r>
    <w:r>
      <w:rPr>
        <w:rFonts w:ascii="돋움" w:eastAsia="돋움" w:hint="eastAsia"/>
        <w:b/>
        <w:bCs/>
        <w:sz w:val="22"/>
      </w:rPr>
      <w:t>700</w:t>
    </w:r>
    <w:r w:rsidR="005F7004">
      <w:rPr>
        <w:rFonts w:ascii="돋움" w:eastAsia="돋움" w:hint="eastAsia"/>
        <w:b/>
        <w:bCs/>
        <w:sz w:val="22"/>
      </w:rPr>
      <w:t>4</w:t>
    </w:r>
    <w:r>
      <w:rPr>
        <w:rFonts w:ascii="돋움" w:eastAsia="돋움" w:hint="eastAsia"/>
        <w:b/>
        <w:bCs/>
        <w:sz w:val="22"/>
      </w:rPr>
      <w:t xml:space="preserve"> </w:t>
    </w:r>
    <w:r w:rsidR="005F7004">
      <w:rPr>
        <w:rFonts w:ascii="돋움" w:eastAsia="돋움" w:hint="eastAsia"/>
        <w:b/>
        <w:bCs/>
        <w:sz w:val="22"/>
      </w:rPr>
      <w:t>이해상충관리지침</w:t>
    </w:r>
  </w:p>
  <w:p w14:paraId="4DDBFD2D" w14:textId="77777777" w:rsidR="006F0361" w:rsidRPr="00D0694B" w:rsidRDefault="006F0361" w:rsidP="006F0361">
    <w:pPr>
      <w:pStyle w:val="a5"/>
    </w:pPr>
  </w:p>
  <w:p w14:paraId="733FB265" w14:textId="77777777" w:rsidR="006F0361" w:rsidRPr="006F0361" w:rsidRDefault="006F03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20EF"/>
    <w:multiLevelType w:val="hybridMultilevel"/>
    <w:tmpl w:val="9BE4FD8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1" w15:restartNumberingAfterBreak="0">
    <w:nsid w:val="01D87636"/>
    <w:multiLevelType w:val="hybridMultilevel"/>
    <w:tmpl w:val="902C7438"/>
    <w:lvl w:ilvl="0" w:tplc="FF0AD4E2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64C4FB4"/>
    <w:multiLevelType w:val="hybridMultilevel"/>
    <w:tmpl w:val="9BE4FD8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3" w15:restartNumberingAfterBreak="0">
    <w:nsid w:val="0C497306"/>
    <w:multiLevelType w:val="hybridMultilevel"/>
    <w:tmpl w:val="862A9646"/>
    <w:lvl w:ilvl="0" w:tplc="9C7A7D2C">
      <w:start w:val="1"/>
      <w:numFmt w:val="decimal"/>
      <w:lvlText w:val="%1."/>
      <w:lvlJc w:val="left"/>
      <w:pPr>
        <w:ind w:left="530" w:hanging="3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4" w15:restartNumberingAfterBreak="0">
    <w:nsid w:val="1F0C4AD4"/>
    <w:multiLevelType w:val="hybridMultilevel"/>
    <w:tmpl w:val="9BE4FD8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5" w15:restartNumberingAfterBreak="0">
    <w:nsid w:val="285617E1"/>
    <w:multiLevelType w:val="hybridMultilevel"/>
    <w:tmpl w:val="908E2854"/>
    <w:lvl w:ilvl="0" w:tplc="BF522414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B543981"/>
    <w:multiLevelType w:val="hybridMultilevel"/>
    <w:tmpl w:val="9BE4FD8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7" w15:restartNumberingAfterBreak="0">
    <w:nsid w:val="417E46B1"/>
    <w:multiLevelType w:val="hybridMultilevel"/>
    <w:tmpl w:val="9BE4FD8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0" w:hanging="440"/>
      </w:pPr>
    </w:lvl>
    <w:lvl w:ilvl="2" w:tplc="FFFFFFFF" w:tentative="1">
      <w:start w:val="1"/>
      <w:numFmt w:val="lowerRoman"/>
      <w:lvlText w:val="%3."/>
      <w:lvlJc w:val="righ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upperLetter"/>
      <w:lvlText w:val="%5."/>
      <w:lvlJc w:val="left"/>
      <w:pPr>
        <w:ind w:left="2400" w:hanging="440"/>
      </w:pPr>
    </w:lvl>
    <w:lvl w:ilvl="5" w:tplc="FFFFFFFF" w:tentative="1">
      <w:start w:val="1"/>
      <w:numFmt w:val="lowerRoman"/>
      <w:lvlText w:val="%6."/>
      <w:lvlJc w:val="righ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upperLetter"/>
      <w:lvlText w:val="%8."/>
      <w:lvlJc w:val="left"/>
      <w:pPr>
        <w:ind w:left="3720" w:hanging="440"/>
      </w:pPr>
    </w:lvl>
    <w:lvl w:ilvl="8" w:tplc="FFFFFFFF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8" w15:restartNumberingAfterBreak="0">
    <w:nsid w:val="4D0C1242"/>
    <w:multiLevelType w:val="multilevel"/>
    <w:tmpl w:val="47CE0492"/>
    <w:lvl w:ilvl="0">
      <w:start w:val="1"/>
      <w:numFmt w:val="decimal"/>
      <w:suff w:val="space"/>
      <w:lvlText w:val="%1."/>
      <w:lvlJc w:val="left"/>
      <w:pPr>
        <w:ind w:left="142" w:firstLine="0"/>
      </w:pPr>
    </w:lvl>
    <w:lvl w:ilvl="1">
      <w:start w:val="1"/>
      <w:numFmt w:val="ganada"/>
      <w:suff w:val="space"/>
      <w:lvlText w:val="%2."/>
      <w:lvlJc w:val="left"/>
      <w:pPr>
        <w:ind w:left="283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75611"/>
    <w:multiLevelType w:val="hybridMultilevel"/>
    <w:tmpl w:val="9BE4FD8C"/>
    <w:lvl w:ilvl="0" w:tplc="9C9CBDD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10" w15:restartNumberingAfterBreak="0">
    <w:nsid w:val="66911AE4"/>
    <w:multiLevelType w:val="hybridMultilevel"/>
    <w:tmpl w:val="F8CC3158"/>
    <w:lvl w:ilvl="0" w:tplc="6BFE60A4">
      <w:start w:val="1"/>
      <w:numFmt w:val="ganada"/>
      <w:lvlText w:val="%1."/>
      <w:lvlJc w:val="left"/>
      <w:pPr>
        <w:ind w:left="83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11" w15:restartNumberingAfterBreak="0">
    <w:nsid w:val="69FC4547"/>
    <w:multiLevelType w:val="hybridMultilevel"/>
    <w:tmpl w:val="E7EC0890"/>
    <w:lvl w:ilvl="0" w:tplc="8F5A0CDE">
      <w:start w:val="2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34A3A97"/>
    <w:multiLevelType w:val="hybridMultilevel"/>
    <w:tmpl w:val="33049E28"/>
    <w:lvl w:ilvl="0" w:tplc="6AB2A4B4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28669157">
    <w:abstractNumId w:val="9"/>
  </w:num>
  <w:num w:numId="2" w16cid:durableId="960766440">
    <w:abstractNumId w:val="0"/>
  </w:num>
  <w:num w:numId="3" w16cid:durableId="1855222160">
    <w:abstractNumId w:val="2"/>
  </w:num>
  <w:num w:numId="4" w16cid:durableId="1529174204">
    <w:abstractNumId w:val="6"/>
  </w:num>
  <w:num w:numId="5" w16cid:durableId="1699354472">
    <w:abstractNumId w:val="4"/>
  </w:num>
  <w:num w:numId="6" w16cid:durableId="791946485">
    <w:abstractNumId w:val="7"/>
  </w:num>
  <w:num w:numId="7" w16cid:durableId="1002467125">
    <w:abstractNumId w:val="1"/>
  </w:num>
  <w:num w:numId="8" w16cid:durableId="2069648044">
    <w:abstractNumId w:val="11"/>
  </w:num>
  <w:num w:numId="9" w16cid:durableId="1179081768">
    <w:abstractNumId w:val="12"/>
  </w:num>
  <w:num w:numId="10" w16cid:durableId="1371877517">
    <w:abstractNumId w:val="5"/>
  </w:num>
  <w:num w:numId="11" w16cid:durableId="105874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08843">
    <w:abstractNumId w:val="3"/>
  </w:num>
  <w:num w:numId="13" w16cid:durableId="1575437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B5"/>
    <w:rsid w:val="00033136"/>
    <w:rsid w:val="00074628"/>
    <w:rsid w:val="00080840"/>
    <w:rsid w:val="00122A13"/>
    <w:rsid w:val="001908E9"/>
    <w:rsid w:val="001A7775"/>
    <w:rsid w:val="00225065"/>
    <w:rsid w:val="002839E8"/>
    <w:rsid w:val="00284A2A"/>
    <w:rsid w:val="003220F0"/>
    <w:rsid w:val="00350DD0"/>
    <w:rsid w:val="00394F0D"/>
    <w:rsid w:val="003968FA"/>
    <w:rsid w:val="003B7BAB"/>
    <w:rsid w:val="003C722D"/>
    <w:rsid w:val="003D56E8"/>
    <w:rsid w:val="003D5D8D"/>
    <w:rsid w:val="003F456E"/>
    <w:rsid w:val="004444DB"/>
    <w:rsid w:val="004610C1"/>
    <w:rsid w:val="004C47A4"/>
    <w:rsid w:val="004D1662"/>
    <w:rsid w:val="00521CA9"/>
    <w:rsid w:val="0054587E"/>
    <w:rsid w:val="00561649"/>
    <w:rsid w:val="00567BA2"/>
    <w:rsid w:val="0057032C"/>
    <w:rsid w:val="00572AC9"/>
    <w:rsid w:val="005C1C5B"/>
    <w:rsid w:val="005F7004"/>
    <w:rsid w:val="00600D81"/>
    <w:rsid w:val="006075A8"/>
    <w:rsid w:val="006A0EB4"/>
    <w:rsid w:val="006D3BF2"/>
    <w:rsid w:val="006F0361"/>
    <w:rsid w:val="00723A0F"/>
    <w:rsid w:val="00744B11"/>
    <w:rsid w:val="007A3B96"/>
    <w:rsid w:val="007A6DF5"/>
    <w:rsid w:val="007D25B5"/>
    <w:rsid w:val="007D2E35"/>
    <w:rsid w:val="007F5EAD"/>
    <w:rsid w:val="0082550D"/>
    <w:rsid w:val="008C79C1"/>
    <w:rsid w:val="00901BCA"/>
    <w:rsid w:val="009217BA"/>
    <w:rsid w:val="00931C1C"/>
    <w:rsid w:val="009639A0"/>
    <w:rsid w:val="009C4407"/>
    <w:rsid w:val="009D1F1C"/>
    <w:rsid w:val="00A244A4"/>
    <w:rsid w:val="00A3172D"/>
    <w:rsid w:val="00A55D22"/>
    <w:rsid w:val="00A853A1"/>
    <w:rsid w:val="00A9610D"/>
    <w:rsid w:val="00B1752C"/>
    <w:rsid w:val="00B20A25"/>
    <w:rsid w:val="00B23B1E"/>
    <w:rsid w:val="00B6485D"/>
    <w:rsid w:val="00B70259"/>
    <w:rsid w:val="00BA073B"/>
    <w:rsid w:val="00BA185A"/>
    <w:rsid w:val="00BC5960"/>
    <w:rsid w:val="00BC645B"/>
    <w:rsid w:val="00C01BB0"/>
    <w:rsid w:val="00C046DD"/>
    <w:rsid w:val="00C344FB"/>
    <w:rsid w:val="00C81E26"/>
    <w:rsid w:val="00CB15B6"/>
    <w:rsid w:val="00D502F1"/>
    <w:rsid w:val="00DA00C8"/>
    <w:rsid w:val="00E133AE"/>
    <w:rsid w:val="00E23260"/>
    <w:rsid w:val="00F35206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94AB"/>
  <w15:docId w15:val="{DB41616E-8C21-4844-A8DB-2E8EE7BF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B5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D25B5"/>
    <w:pPr>
      <w:widowControl w:val="0"/>
      <w:wordWrap w:val="0"/>
      <w:autoSpaceDE w:val="0"/>
      <w:autoSpaceDN w:val="0"/>
      <w:adjustRightInd w:val="0"/>
      <w:spacing w:line="299" w:lineRule="auto"/>
      <w:jc w:val="both"/>
      <w:textAlignment w:val="baseline"/>
    </w:pPr>
    <w:rPr>
      <w:rFonts w:ascii="바탕체" w:eastAsia="바탕체" w:hAnsi="Times New Roman" w:cs="Times New Roman"/>
      <w:color w:val="000000"/>
      <w:kern w:val="0"/>
      <w:szCs w:val="20"/>
      <w:lang w:bidi="he-IL"/>
    </w:rPr>
  </w:style>
  <w:style w:type="paragraph" w:styleId="a4">
    <w:name w:val="List Paragraph"/>
    <w:basedOn w:val="a"/>
    <w:uiPriority w:val="34"/>
    <w:qFormat/>
    <w:rsid w:val="00DA00C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50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50DD0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nhideWhenUsed/>
    <w:rsid w:val="00350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350DD0"/>
    <w:rPr>
      <w:rFonts w:ascii="바탕" w:eastAsia="바탕" w:hAnsi="Times New Roman" w:cs="Times New Roman"/>
      <w:szCs w:val="24"/>
    </w:rPr>
  </w:style>
  <w:style w:type="character" w:styleId="a7">
    <w:name w:val="page number"/>
    <w:basedOn w:val="a0"/>
    <w:semiHidden/>
    <w:rsid w:val="006F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SonSK</dc:creator>
  <cp:lastModifiedBy>spare PC 에머슨자산운용</cp:lastModifiedBy>
  <cp:revision>14</cp:revision>
  <dcterms:created xsi:type="dcterms:W3CDTF">2021-06-02T06:27:00Z</dcterms:created>
  <dcterms:modified xsi:type="dcterms:W3CDTF">2025-08-19T05:31:00Z</dcterms:modified>
</cp:coreProperties>
</file>